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2AB2" w:rsidRDefault="00B019E1">
      <w:pPr>
        <w:spacing w:line="360" w:lineRule="auto"/>
        <w:jc w:val="center"/>
        <w:rPr>
          <w:b/>
        </w:rPr>
      </w:pPr>
      <w:bookmarkStart w:id="0" w:name="_GoBack"/>
      <w:bookmarkEnd w:id="0"/>
      <w:r>
        <w:rPr>
          <w:b/>
        </w:rPr>
        <w:t xml:space="preserve">Major Projects Leadership Academy (MPLA), </w:t>
      </w:r>
    </w:p>
    <w:p w:rsidR="00302AB2" w:rsidRDefault="00B019E1">
      <w:pPr>
        <w:spacing w:line="360" w:lineRule="auto"/>
        <w:jc w:val="center"/>
        <w:rPr>
          <w:b/>
        </w:rPr>
      </w:pPr>
      <w:r>
        <w:rPr>
          <w:b/>
        </w:rPr>
        <w:t>Orchestrating Major Projects (OMP)</w:t>
      </w:r>
    </w:p>
    <w:p w:rsidR="00302AB2" w:rsidRDefault="00B019E1">
      <w:pPr>
        <w:spacing w:line="360" w:lineRule="auto"/>
        <w:jc w:val="center"/>
        <w:rPr>
          <w:b/>
        </w:rPr>
      </w:pPr>
      <w:r>
        <w:rPr>
          <w:b/>
        </w:rPr>
        <w:t xml:space="preserve">&amp; </w:t>
      </w:r>
    </w:p>
    <w:p w:rsidR="00302AB2" w:rsidRDefault="00B019E1">
      <w:pPr>
        <w:spacing w:line="360" w:lineRule="auto"/>
        <w:jc w:val="center"/>
        <w:rPr>
          <w:b/>
        </w:rPr>
      </w:pPr>
      <w:r>
        <w:rPr>
          <w:b/>
        </w:rPr>
        <w:t>Optional Services</w:t>
      </w:r>
    </w:p>
    <w:p w:rsidR="00302AB2" w:rsidRDefault="00302AB2">
      <w:pPr>
        <w:spacing w:line="360" w:lineRule="auto"/>
        <w:jc w:val="center"/>
        <w:rPr>
          <w:b/>
        </w:rPr>
      </w:pPr>
    </w:p>
    <w:p w:rsidR="00302AB2" w:rsidRDefault="00B019E1">
      <w:pPr>
        <w:spacing w:after="218" w:line="259" w:lineRule="auto"/>
        <w:jc w:val="center"/>
        <w:rPr>
          <w:b/>
        </w:rPr>
      </w:pPr>
      <w:r>
        <w:rPr>
          <w:b/>
        </w:rPr>
        <w:t>RM6223</w:t>
      </w:r>
    </w:p>
    <w:p w:rsidR="00302AB2" w:rsidRDefault="00B019E1">
      <w:pPr>
        <w:spacing w:before="200" w:after="200" w:line="360" w:lineRule="auto"/>
        <w:jc w:val="center"/>
        <w:rPr>
          <w:b/>
        </w:rPr>
      </w:pPr>
      <w:r>
        <w:rPr>
          <w:b/>
        </w:rPr>
        <w:t>MPLA SPECIFICATION OF SERVICES</w:t>
      </w:r>
    </w:p>
    <w:p w:rsidR="00302AB2" w:rsidRDefault="00B019E1">
      <w:pPr>
        <w:jc w:val="center"/>
        <w:rPr>
          <w:b/>
        </w:rPr>
      </w:pPr>
      <w:r>
        <w:rPr>
          <w:b/>
        </w:rPr>
        <w:t>Annex D - Outline of OMP Programme</w:t>
      </w:r>
    </w:p>
    <w:p w:rsidR="00302AB2" w:rsidRDefault="00302AB2">
      <w:pPr>
        <w:jc w:val="center"/>
        <w:rPr>
          <w:b/>
        </w:rPr>
      </w:pPr>
    </w:p>
    <w:p w:rsidR="00302AB2" w:rsidRDefault="00302AB2">
      <w:pPr>
        <w:jc w:val="center"/>
        <w:rPr>
          <w:b/>
        </w:rPr>
      </w:pPr>
    </w:p>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302AB2"/>
    <w:p w:rsidR="00302AB2" w:rsidRDefault="00B019E1">
      <w:pPr>
        <w:rPr>
          <w:b/>
        </w:rPr>
      </w:pPr>
      <w:r>
        <w:rPr>
          <w:b/>
        </w:rPr>
        <w:lastRenderedPageBreak/>
        <w:t>Introduction</w:t>
      </w:r>
    </w:p>
    <w:p w:rsidR="00302AB2" w:rsidRDefault="00B019E1">
      <w:r>
        <w:t xml:space="preserve">The wellbeing and prosperity of everyone in the UK depends critically on how we deliver our infrastructure and public services. Implementing new policy ideas at scale often results in the need to structure the delivery as a major project. These major projects are substantial endeavours that can cost several billions of pounds and take a number of years to deliver. </w:t>
      </w:r>
    </w:p>
    <w:p w:rsidR="00302AB2" w:rsidRDefault="00B019E1">
      <w:pPr>
        <w:spacing w:before="240" w:after="240"/>
      </w:pPr>
      <w:r>
        <w:t xml:space="preserve">The pressure for successful execution of major projects presents leadership and management challenges for government and the delivery team concerned. Those accountable for the delivery of major projects benefit from attending the Major Project Leadership Academy (MPLA) to support their learning and professional development. </w:t>
      </w:r>
    </w:p>
    <w:p w:rsidR="00302AB2" w:rsidRDefault="00B019E1">
      <w:pPr>
        <w:spacing w:before="240" w:after="240"/>
      </w:pPr>
      <w:r>
        <w:t>Delivering successful outcomes for major projects is however not only in the hands of the delivery teams.  MPLA alumni have identified that whilst they have delivered significant improvements to their approach and delivery of the projects they are accountable for, their work would be further enhanced by implementing changes to the ‘operating environment’ in which major projects are delivered. The operating environment lies within the remit of the Director General community. It is this group that the Orchestrating Major Projects (OMP) programme supports to enable them to ensure major project success through better orchestration of the major projects they oversee and by shaping the environment in which they are conceived and delivered.</w:t>
      </w:r>
    </w:p>
    <w:p w:rsidR="00302AB2" w:rsidRDefault="00302AB2"/>
    <w:p w:rsidR="00302AB2" w:rsidRDefault="00B019E1">
      <w:r>
        <w:rPr>
          <w:b/>
        </w:rPr>
        <w:t>Programme Framework, Aims and Curriculum</w:t>
      </w:r>
    </w:p>
    <w:p w:rsidR="00302AB2" w:rsidRDefault="00B019E1">
      <w:r>
        <w:t xml:space="preserve">The overarching structure of the programme is based on the combination of the constitutional duties of a senior leader and the adaptive requirements of leading and shaping environments for the successful realisation of major projects, as represented by the diagram below.  It does not have a competency framework, as with the MPLA. </w:t>
      </w:r>
    </w:p>
    <w:p w:rsidR="00302AB2" w:rsidRDefault="00302AB2"/>
    <w:p w:rsidR="00302AB2" w:rsidRDefault="00B019E1">
      <w:r>
        <w:rPr>
          <w:b/>
          <w:noProof/>
        </w:rPr>
        <w:drawing>
          <wp:inline distT="114300" distB="114300" distL="114300" distR="114300">
            <wp:extent cx="4376738" cy="302451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l="7750" t="15414" r="7750" b="6335"/>
                    <a:stretch>
                      <a:fillRect/>
                    </a:stretch>
                  </pic:blipFill>
                  <pic:spPr>
                    <a:xfrm>
                      <a:off x="0" y="0"/>
                      <a:ext cx="4376738" cy="3024510"/>
                    </a:xfrm>
                    <a:prstGeom prst="rect">
                      <a:avLst/>
                    </a:prstGeom>
                    <a:ln/>
                  </pic:spPr>
                </pic:pic>
              </a:graphicData>
            </a:graphic>
          </wp:inline>
        </w:drawing>
      </w:r>
    </w:p>
    <w:p w:rsidR="00B019E1" w:rsidRDefault="00B019E1">
      <w:pPr>
        <w:spacing w:after="200"/>
        <w:ind w:right="20"/>
      </w:pPr>
    </w:p>
    <w:p w:rsidR="00302AB2" w:rsidRDefault="00B019E1">
      <w:pPr>
        <w:spacing w:after="200"/>
        <w:ind w:right="20"/>
      </w:pPr>
      <w:r>
        <w:t>The programme focuses on 4 key areas where improvements can be made in the delivery of major projects:</w:t>
      </w:r>
    </w:p>
    <w:p w:rsidR="00302AB2" w:rsidRDefault="00B019E1">
      <w:pPr>
        <w:numPr>
          <w:ilvl w:val="0"/>
          <w:numId w:val="3"/>
        </w:numPr>
        <w:spacing w:line="240" w:lineRule="auto"/>
      </w:pPr>
      <w:r>
        <w:lastRenderedPageBreak/>
        <w:t>Setting up major projects to succeed</w:t>
      </w:r>
    </w:p>
    <w:p w:rsidR="00302AB2" w:rsidRDefault="00B019E1">
      <w:pPr>
        <w:numPr>
          <w:ilvl w:val="0"/>
          <w:numId w:val="3"/>
        </w:numPr>
        <w:spacing w:line="240" w:lineRule="auto"/>
      </w:pPr>
      <w:r>
        <w:t>Building in resilience to major projects</w:t>
      </w:r>
    </w:p>
    <w:p w:rsidR="00302AB2" w:rsidRDefault="00B019E1">
      <w:pPr>
        <w:numPr>
          <w:ilvl w:val="0"/>
          <w:numId w:val="3"/>
        </w:numPr>
        <w:spacing w:line="240" w:lineRule="auto"/>
      </w:pPr>
      <w:r>
        <w:t>The shaping of the operating environment</w:t>
      </w:r>
    </w:p>
    <w:p w:rsidR="00302AB2" w:rsidRDefault="00B019E1">
      <w:pPr>
        <w:numPr>
          <w:ilvl w:val="0"/>
          <w:numId w:val="3"/>
        </w:numPr>
        <w:spacing w:after="200" w:line="240" w:lineRule="auto"/>
      </w:pPr>
      <w:r>
        <w:t>Leadership capabilities for major projects and the link to policy</w:t>
      </w:r>
    </w:p>
    <w:p w:rsidR="00302AB2" w:rsidRDefault="00302AB2"/>
    <w:p w:rsidR="00302AB2" w:rsidRDefault="00B019E1">
      <w:pPr>
        <w:rPr>
          <w:b/>
        </w:rPr>
      </w:pPr>
      <w:r>
        <w:rPr>
          <w:b/>
        </w:rPr>
        <w:t>Programme Format</w:t>
      </w:r>
    </w:p>
    <w:p w:rsidR="00302AB2" w:rsidRDefault="00B019E1">
      <w:r>
        <w:t>The high level structure of the version of the programme launched in 2016 is:</w:t>
      </w:r>
    </w:p>
    <w:p w:rsidR="00302AB2" w:rsidRDefault="00302AB2"/>
    <w:p w:rsidR="00302AB2" w:rsidRDefault="00B019E1">
      <w:r>
        <w:rPr>
          <w:noProof/>
        </w:rPr>
        <w:drawing>
          <wp:inline distT="114300" distB="114300" distL="114300" distR="114300">
            <wp:extent cx="5043488" cy="2679671"/>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5043488" cy="2679671"/>
                    </a:xfrm>
                    <a:prstGeom prst="rect">
                      <a:avLst/>
                    </a:prstGeom>
                    <a:ln/>
                  </pic:spPr>
                </pic:pic>
              </a:graphicData>
            </a:graphic>
          </wp:inline>
        </w:drawing>
      </w:r>
    </w:p>
    <w:p w:rsidR="00302AB2" w:rsidRDefault="00302AB2"/>
    <w:p w:rsidR="00302AB2" w:rsidRDefault="00302AB2"/>
    <w:p w:rsidR="00302AB2" w:rsidRDefault="00B019E1">
      <w:r>
        <w:t>The programme is delivered over 6 months and the core components of the programme are:</w:t>
      </w:r>
    </w:p>
    <w:p w:rsidR="00302AB2" w:rsidRDefault="00302AB2"/>
    <w:tbl>
      <w:tblPr>
        <w:tblStyle w:val="a"/>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60"/>
        <w:gridCol w:w="6240"/>
      </w:tblGrid>
      <w:tr w:rsidR="00302AB2">
        <w:tc>
          <w:tcPr>
            <w:tcW w:w="2760" w:type="dxa"/>
            <w:shd w:val="clear" w:color="auto" w:fill="9FC5E8"/>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rPr>
                <w:b/>
              </w:rPr>
            </w:pPr>
            <w:r>
              <w:rPr>
                <w:b/>
              </w:rPr>
              <w:t>Core Component</w:t>
            </w:r>
          </w:p>
        </w:tc>
        <w:tc>
          <w:tcPr>
            <w:tcW w:w="6240" w:type="dxa"/>
            <w:shd w:val="clear" w:color="auto" w:fill="9FC5E8"/>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rPr>
                <w:b/>
              </w:rPr>
            </w:pPr>
            <w:r>
              <w:rPr>
                <w:b/>
              </w:rPr>
              <w:t>Description</w:t>
            </w:r>
          </w:p>
        </w:tc>
      </w:tr>
      <w:tr w:rsidR="00302AB2">
        <w:tc>
          <w:tcPr>
            <w:tcW w:w="276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t>Preparatory Work</w:t>
            </w:r>
          </w:p>
        </w:tc>
        <w:tc>
          <w:tcPr>
            <w:tcW w:w="624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t>Short written piece detailing the participant’s view of the opportunities of and their reasons for enrolling on the OMP</w:t>
            </w:r>
          </w:p>
        </w:tc>
      </w:tr>
      <w:tr w:rsidR="00302AB2">
        <w:tc>
          <w:tcPr>
            <w:tcW w:w="276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t>Orientation Event</w:t>
            </w:r>
          </w:p>
        </w:tc>
        <w:tc>
          <w:tcPr>
            <w:tcW w:w="624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t>Half day event, providing an opportunity to meet the faculty and their cohort; to understand the commitments of the programme; and to begin to connect with the learning and content.</w:t>
            </w:r>
          </w:p>
        </w:tc>
      </w:tr>
      <w:tr w:rsidR="00302AB2">
        <w:tc>
          <w:tcPr>
            <w:tcW w:w="2760" w:type="dxa"/>
            <w:shd w:val="clear" w:color="auto" w:fill="auto"/>
            <w:tcMar>
              <w:top w:w="100" w:type="dxa"/>
              <w:left w:w="100" w:type="dxa"/>
              <w:bottom w:w="100" w:type="dxa"/>
              <w:right w:w="100" w:type="dxa"/>
            </w:tcMar>
          </w:tcPr>
          <w:p w:rsidR="00302AB2" w:rsidRDefault="00B019E1">
            <w:pPr>
              <w:widowControl w:val="0"/>
              <w:spacing w:line="240" w:lineRule="auto"/>
            </w:pPr>
            <w:r>
              <w:t>1-2-1 with a Tutor</w:t>
            </w:r>
          </w:p>
        </w:tc>
        <w:tc>
          <w:tcPr>
            <w:tcW w:w="6240" w:type="dxa"/>
            <w:shd w:val="clear" w:color="auto" w:fill="auto"/>
            <w:tcMar>
              <w:top w:w="100" w:type="dxa"/>
              <w:left w:w="100" w:type="dxa"/>
              <w:bottom w:w="100" w:type="dxa"/>
              <w:right w:w="100" w:type="dxa"/>
            </w:tcMar>
          </w:tcPr>
          <w:p w:rsidR="00302AB2" w:rsidRDefault="00B019E1">
            <w:pPr>
              <w:widowControl w:val="0"/>
              <w:spacing w:line="240" w:lineRule="auto"/>
            </w:pPr>
            <w:r>
              <w:t>Introductory session ahead of the core modules to explore further the participant’s development opportunities and plan for the programme; and to reinforce their commitment to attending the full course.</w:t>
            </w:r>
          </w:p>
        </w:tc>
      </w:tr>
      <w:tr w:rsidR="00302AB2">
        <w:tc>
          <w:tcPr>
            <w:tcW w:w="276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t>Residential Week</w:t>
            </w:r>
          </w:p>
        </w:tc>
        <w:tc>
          <w:tcPr>
            <w:tcW w:w="624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t>A residential week with 4 core learning days delivered over 5.  The week includes a mixture of interactive sessions from faculty, MPLA alumni and private and government senior practitioners, case studies, experiential sessions and small group tutorials.</w:t>
            </w:r>
          </w:p>
        </w:tc>
      </w:tr>
      <w:tr w:rsidR="00302AB2">
        <w:tc>
          <w:tcPr>
            <w:tcW w:w="276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t>Masterclasses</w:t>
            </w:r>
          </w:p>
        </w:tc>
        <w:tc>
          <w:tcPr>
            <w:tcW w:w="624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t>2 one day workshops on specific technical areas - topics are chosen after consultation with the cohort</w:t>
            </w:r>
          </w:p>
        </w:tc>
      </w:tr>
      <w:tr w:rsidR="00302AB2">
        <w:tc>
          <w:tcPr>
            <w:tcW w:w="276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lastRenderedPageBreak/>
              <w:t>Capstone Day</w:t>
            </w:r>
          </w:p>
        </w:tc>
        <w:tc>
          <w:tcPr>
            <w:tcW w:w="6240" w:type="dxa"/>
            <w:shd w:val="clear" w:color="auto" w:fill="auto"/>
            <w:tcMar>
              <w:top w:w="100" w:type="dxa"/>
              <w:left w:w="100" w:type="dxa"/>
              <w:bottom w:w="100" w:type="dxa"/>
              <w:right w:w="100" w:type="dxa"/>
            </w:tcMar>
          </w:tcPr>
          <w:p w:rsidR="00302AB2" w:rsidRDefault="00B019E1">
            <w:pPr>
              <w:widowControl w:val="0"/>
              <w:pBdr>
                <w:top w:val="nil"/>
                <w:left w:val="nil"/>
                <w:bottom w:val="nil"/>
                <w:right w:val="nil"/>
                <w:between w:val="nil"/>
              </w:pBdr>
              <w:spacing w:line="240" w:lineRule="auto"/>
            </w:pPr>
            <w:r>
              <w:t>A one day workshop to draw together the learning and provide reflection; and to set participants on the journey of what next and what will be different post programme</w:t>
            </w:r>
          </w:p>
        </w:tc>
      </w:tr>
    </w:tbl>
    <w:p w:rsidR="00302AB2" w:rsidRDefault="00302AB2"/>
    <w:p w:rsidR="00302AB2" w:rsidRDefault="00302AB2">
      <w:pPr>
        <w:rPr>
          <w:b/>
        </w:rPr>
      </w:pPr>
    </w:p>
    <w:p w:rsidR="00302AB2" w:rsidRDefault="00B019E1">
      <w:pPr>
        <w:rPr>
          <w:b/>
        </w:rPr>
      </w:pPr>
      <w:r>
        <w:rPr>
          <w:b/>
        </w:rPr>
        <w:t>Orientation Event</w:t>
      </w:r>
    </w:p>
    <w:p w:rsidR="00302AB2" w:rsidRDefault="00B019E1">
      <w:r>
        <w:t>The orientation is a half day event designed to set expectations of the programme and confirm the commitment required from participants.  It is an opportunity for the cohort to network and begin to bond as a group, as well as time to meet the programme delivery team and hear from the Infrastructure and Projects Authority.</w:t>
      </w:r>
    </w:p>
    <w:p w:rsidR="00302AB2" w:rsidRDefault="00302AB2"/>
    <w:p w:rsidR="00302AB2" w:rsidRDefault="00302AB2"/>
    <w:p w:rsidR="00302AB2" w:rsidRDefault="00B019E1">
      <w:pPr>
        <w:rPr>
          <w:b/>
        </w:rPr>
      </w:pPr>
      <w:r>
        <w:rPr>
          <w:b/>
        </w:rPr>
        <w:t>Residential Week</w:t>
      </w:r>
    </w:p>
    <w:p w:rsidR="00302AB2" w:rsidRDefault="00B019E1">
      <w:r>
        <w:t>The residential week provides 4 days of core learning. The week is a combination of taught classes, guest speakers (public and private sector), case studies, small group tutorials, experiential learning and field trips.  The content of the week covers such areas as:</w:t>
      </w:r>
    </w:p>
    <w:p w:rsidR="00302AB2" w:rsidRDefault="00B019E1">
      <w:pPr>
        <w:numPr>
          <w:ilvl w:val="0"/>
          <w:numId w:val="2"/>
        </w:numPr>
      </w:pPr>
      <w:r>
        <w:t>Complex environments - leading and decision making in government</w:t>
      </w:r>
    </w:p>
    <w:p w:rsidR="00302AB2" w:rsidRDefault="00B019E1">
      <w:pPr>
        <w:numPr>
          <w:ilvl w:val="0"/>
          <w:numId w:val="2"/>
        </w:numPr>
      </w:pPr>
      <w:r>
        <w:t>Organisational culture and setting the right environment</w:t>
      </w:r>
    </w:p>
    <w:p w:rsidR="00302AB2" w:rsidRDefault="00B019E1">
      <w:pPr>
        <w:numPr>
          <w:ilvl w:val="0"/>
          <w:numId w:val="2"/>
        </w:numPr>
      </w:pPr>
      <w:r>
        <w:t>Adaptive Leadership</w:t>
      </w:r>
    </w:p>
    <w:p w:rsidR="00302AB2" w:rsidRDefault="00B019E1">
      <w:pPr>
        <w:numPr>
          <w:ilvl w:val="0"/>
          <w:numId w:val="2"/>
        </w:numPr>
      </w:pPr>
      <w:r>
        <w:t>Stakeholder alignment</w:t>
      </w:r>
    </w:p>
    <w:p w:rsidR="00302AB2" w:rsidRDefault="00B019E1">
      <w:pPr>
        <w:numPr>
          <w:ilvl w:val="0"/>
          <w:numId w:val="2"/>
        </w:numPr>
      </w:pPr>
      <w:r>
        <w:t>Importance of building resilience</w:t>
      </w:r>
    </w:p>
    <w:p w:rsidR="00302AB2" w:rsidRDefault="00B019E1">
      <w:pPr>
        <w:numPr>
          <w:ilvl w:val="0"/>
          <w:numId w:val="2"/>
        </w:numPr>
      </w:pPr>
      <w:r>
        <w:t>Core MPLA concepts</w:t>
      </w:r>
    </w:p>
    <w:p w:rsidR="00302AB2" w:rsidRDefault="00302AB2"/>
    <w:p w:rsidR="00302AB2" w:rsidRDefault="00B019E1">
      <w:pPr>
        <w:rPr>
          <w:b/>
        </w:rPr>
      </w:pPr>
      <w:r>
        <w:rPr>
          <w:b/>
        </w:rPr>
        <w:t>Masterclasses</w:t>
      </w:r>
    </w:p>
    <w:p w:rsidR="00302AB2" w:rsidRDefault="00B019E1">
      <w:r>
        <w:t>The masterclasses are deep dives into technical topics.  The themes for the 2 classes are chosen in consultation with the cohort, as areas most valuable to the group. The classes have covered such themes as:</w:t>
      </w:r>
    </w:p>
    <w:p w:rsidR="00302AB2" w:rsidRDefault="00B019E1">
      <w:pPr>
        <w:numPr>
          <w:ilvl w:val="0"/>
          <w:numId w:val="1"/>
        </w:numPr>
        <w:shd w:val="clear" w:color="auto" w:fill="FFFFFF"/>
      </w:pPr>
      <w:r>
        <w:rPr>
          <w:color w:val="222222"/>
        </w:rPr>
        <w:t>Enabling SROs and holding them to account</w:t>
      </w:r>
    </w:p>
    <w:p w:rsidR="00302AB2" w:rsidRDefault="00B019E1">
      <w:pPr>
        <w:numPr>
          <w:ilvl w:val="0"/>
          <w:numId w:val="1"/>
        </w:numPr>
        <w:shd w:val="clear" w:color="auto" w:fill="FFFFFF"/>
      </w:pPr>
      <w:r>
        <w:rPr>
          <w:color w:val="222222"/>
        </w:rPr>
        <w:t>Intelligent client</w:t>
      </w:r>
    </w:p>
    <w:p w:rsidR="00302AB2" w:rsidRDefault="00B019E1">
      <w:pPr>
        <w:numPr>
          <w:ilvl w:val="0"/>
          <w:numId w:val="1"/>
        </w:numPr>
        <w:shd w:val="clear" w:color="auto" w:fill="FFFFFF"/>
      </w:pPr>
      <w:r>
        <w:rPr>
          <w:color w:val="222222"/>
        </w:rPr>
        <w:t>Scenario Planning</w:t>
      </w:r>
    </w:p>
    <w:p w:rsidR="00302AB2" w:rsidRDefault="00B019E1">
      <w:pPr>
        <w:numPr>
          <w:ilvl w:val="0"/>
          <w:numId w:val="1"/>
        </w:numPr>
        <w:shd w:val="clear" w:color="auto" w:fill="FFFFFF"/>
      </w:pPr>
      <w:r>
        <w:rPr>
          <w:color w:val="222222"/>
        </w:rPr>
        <w:t>ICT Enabled Transformation</w:t>
      </w:r>
    </w:p>
    <w:p w:rsidR="00302AB2" w:rsidRDefault="00B019E1">
      <w:pPr>
        <w:numPr>
          <w:ilvl w:val="0"/>
          <w:numId w:val="1"/>
        </w:numPr>
        <w:shd w:val="clear" w:color="auto" w:fill="FFFFFF"/>
      </w:pPr>
      <w:r>
        <w:rPr>
          <w:color w:val="222222"/>
        </w:rPr>
        <w:t>Building Resilience</w:t>
      </w:r>
    </w:p>
    <w:p w:rsidR="00302AB2" w:rsidRDefault="00B019E1">
      <w:pPr>
        <w:numPr>
          <w:ilvl w:val="0"/>
          <w:numId w:val="1"/>
        </w:numPr>
        <w:shd w:val="clear" w:color="auto" w:fill="FFFFFF"/>
      </w:pPr>
      <w:r>
        <w:rPr>
          <w:color w:val="222222"/>
        </w:rPr>
        <w:t>Governance</w:t>
      </w:r>
    </w:p>
    <w:p w:rsidR="00302AB2" w:rsidRDefault="00B019E1">
      <w:pPr>
        <w:numPr>
          <w:ilvl w:val="0"/>
          <w:numId w:val="1"/>
        </w:numPr>
        <w:shd w:val="clear" w:color="auto" w:fill="FFFFFF"/>
      </w:pPr>
      <w:r>
        <w:rPr>
          <w:color w:val="222222"/>
        </w:rPr>
        <w:t>Black Swans and Resets</w:t>
      </w:r>
    </w:p>
    <w:p w:rsidR="00302AB2" w:rsidRDefault="00B019E1">
      <w:pPr>
        <w:numPr>
          <w:ilvl w:val="0"/>
          <w:numId w:val="1"/>
        </w:numPr>
        <w:shd w:val="clear" w:color="auto" w:fill="FFFFFF"/>
      </w:pPr>
      <w:r>
        <w:rPr>
          <w:color w:val="222222"/>
        </w:rPr>
        <w:t>Preparing for the Spending Review</w:t>
      </w:r>
    </w:p>
    <w:p w:rsidR="00302AB2" w:rsidRDefault="00302AB2"/>
    <w:p w:rsidR="00302AB2" w:rsidRDefault="00B019E1">
      <w:pPr>
        <w:rPr>
          <w:b/>
        </w:rPr>
      </w:pPr>
      <w:r>
        <w:rPr>
          <w:b/>
        </w:rPr>
        <w:t>Capstone Day</w:t>
      </w:r>
    </w:p>
    <w:p w:rsidR="00302AB2" w:rsidRDefault="00B019E1">
      <w:pPr>
        <w:spacing w:after="200"/>
        <w:ind w:right="20"/>
      </w:pPr>
      <w:r>
        <w:t>The final programme day for participants is the last opportunity to cover core topics and to draw together the programme content. The day provides participants with time to reflect and feedback on the programme learning and experience and to look ahead to what next.  It is also a final chance for the cohort to network as a group.</w:t>
      </w:r>
    </w:p>
    <w:p w:rsidR="00302AB2" w:rsidRDefault="00302AB2"/>
    <w:p w:rsidR="00302AB2" w:rsidRDefault="00B019E1">
      <w:pPr>
        <w:jc w:val="center"/>
      </w:pPr>
      <w:r>
        <w:t>*******</w:t>
      </w:r>
    </w:p>
    <w:sectPr w:rsidR="00302AB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2A0ACE"/>
    <w:multiLevelType w:val="multilevel"/>
    <w:tmpl w:val="8A2E9756"/>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3374E8B"/>
    <w:multiLevelType w:val="multilevel"/>
    <w:tmpl w:val="E95E4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2FD41E08"/>
    <w:multiLevelType w:val="multilevel"/>
    <w:tmpl w:val="B0E607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AB2"/>
    <w:rsid w:val="000150C6"/>
    <w:rsid w:val="00302AB2"/>
    <w:rsid w:val="005D05C9"/>
    <w:rsid w:val="00B019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D4D9B3-AA53-46A3-B38E-12845D035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 Dooley</dc:creator>
  <cp:lastModifiedBy>Sarah Morris</cp:lastModifiedBy>
  <cp:revision>2</cp:revision>
  <dcterms:created xsi:type="dcterms:W3CDTF">2021-07-07T08:52:00Z</dcterms:created>
  <dcterms:modified xsi:type="dcterms:W3CDTF">2021-07-07T08:52:00Z</dcterms:modified>
</cp:coreProperties>
</file>